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722C286B"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811113" w:rsidRPr="00811113">
        <w:rPr>
          <w:rFonts w:ascii="Arial" w:hAnsi="Arial"/>
          <w:sz w:val="24"/>
          <w:szCs w:val="24"/>
        </w:rPr>
        <w:t>Intra-frequency measurement test with SA event triggered reporting tests: with network-controlled activation/deactivation of Pre-MG in FR2</w:t>
      </w:r>
    </w:p>
    <w:p w14:paraId="1B8EEA86" w14:textId="23178889"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AA0F210" w:rsidR="006E1976" w:rsidRDefault="006E1976" w:rsidP="006E1976">
      <w:pPr>
        <w:jc w:val="both"/>
        <w:rPr>
          <w:rFonts w:ascii="Arial" w:hAnsi="Arial"/>
        </w:rPr>
      </w:pPr>
      <w:r w:rsidRPr="008F6534">
        <w:rPr>
          <w:rFonts w:ascii="Arial" w:hAnsi="Arial"/>
        </w:rPr>
        <w:t xml:space="preserve">The purpose of this document is to present the methodology and principles used for the development of Test Tolerances </w:t>
      </w:r>
      <w:r w:rsidR="002E64D1" w:rsidRPr="002E64D1">
        <w:rPr>
          <w:rFonts w:ascii="Arial" w:hAnsi="Arial"/>
        </w:rPr>
        <w:t>for Intra-frequency measurement test with SA event triggered reporting tests: with network-controlled activation/deactivation of Pre-MG in FR2</w:t>
      </w:r>
      <w:r w:rsidR="002E64D1">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134E9B33" w:rsidR="006E1976" w:rsidRDefault="003C1279" w:rsidP="003C1279">
      <w:pPr>
        <w:numPr>
          <w:ilvl w:val="0"/>
          <w:numId w:val="3"/>
        </w:numPr>
        <w:autoSpaceDE w:val="0"/>
        <w:autoSpaceDN w:val="0"/>
        <w:adjustRightInd w:val="0"/>
        <w:spacing w:after="60"/>
        <w:rPr>
          <w:rFonts w:ascii="Arial" w:hAnsi="Arial"/>
        </w:rPr>
      </w:pPr>
      <w:r>
        <w:rPr>
          <w:rFonts w:ascii="Arial" w:hAnsi="Arial"/>
        </w:rPr>
        <w:t>7.6.1</w:t>
      </w:r>
      <w:r w:rsidR="002E64D1">
        <w:rPr>
          <w:rFonts w:ascii="Arial" w:hAnsi="Arial"/>
        </w:rPr>
        <w:t>4</w:t>
      </w:r>
      <w:r>
        <w:rPr>
          <w:rFonts w:ascii="Arial" w:hAnsi="Arial"/>
        </w:rPr>
        <w:t>.</w:t>
      </w:r>
      <w:r w:rsidR="002E64D1">
        <w:rPr>
          <w:rFonts w:ascii="Arial" w:hAnsi="Arial"/>
        </w:rPr>
        <w:t>2</w:t>
      </w:r>
      <w:r w:rsidR="006E1976" w:rsidRPr="00625B5F">
        <w:rPr>
          <w:rFonts w:ascii="Arial" w:hAnsi="Arial"/>
        </w:rPr>
        <w:t>,</w:t>
      </w:r>
      <w:r w:rsidR="002E64D1" w:rsidRPr="002E64D1">
        <w:t xml:space="preserve"> </w:t>
      </w:r>
      <w:r w:rsidR="002E64D1" w:rsidRPr="002E64D1">
        <w:rPr>
          <w:rFonts w:ascii="Arial" w:hAnsi="Arial"/>
        </w:rPr>
        <w:t>Intra-frequency measurement test with SA event triggered reporting tests: with network-controlled activation/deactivation of Pre-MG in FR2</w:t>
      </w:r>
    </w:p>
    <w:p w14:paraId="4F1F7AF6" w14:textId="77777777" w:rsidR="002E64D1" w:rsidRDefault="002E64D1" w:rsidP="002E64D1">
      <w:pPr>
        <w:autoSpaceDE w:val="0"/>
        <w:autoSpaceDN w:val="0"/>
        <w:adjustRightInd w:val="0"/>
        <w:spacing w:after="60"/>
        <w:ind w:left="340"/>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5F6D3DCE"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r w:rsidR="00393EE5">
        <w:rPr>
          <w:rFonts w:ascii="Arial" w:hAnsi="Arial"/>
        </w:rPr>
        <w:t>TS 38.</w:t>
      </w:r>
      <w:r w:rsidR="00393EE5">
        <w:rPr>
          <w:rFonts w:ascii="Arial" w:hAnsi="Arial" w:hint="eastAsia"/>
          <w:lang w:eastAsia="zh-CN"/>
        </w:rPr>
        <w:t>133</w:t>
      </w:r>
      <w:r w:rsidR="00393EE5">
        <w:rPr>
          <w:rFonts w:ascii="Arial" w:hAnsi="Arial"/>
        </w:rPr>
        <w:t xml:space="preserve"> v</w:t>
      </w:r>
      <w:r w:rsidR="00393EE5" w:rsidRPr="0049163F">
        <w:t xml:space="preserve"> </w:t>
      </w:r>
      <w:r w:rsidR="00393EE5" w:rsidRPr="0049163F">
        <w:rPr>
          <w:rFonts w:ascii="Arial" w:hAnsi="Arial"/>
          <w:lang w:eastAsia="zh-CN"/>
        </w:rPr>
        <w:t>17.12.0</w:t>
      </w:r>
      <w:r w:rsidR="00393EE5">
        <w:rPr>
          <w:rFonts w:ascii="Arial" w:hAnsi="Arial"/>
        </w:rPr>
        <w:t xml:space="preserve"> </w:t>
      </w:r>
      <w:r w:rsidR="00393EE5">
        <w:rPr>
          <w:rFonts w:ascii="Arial" w:hAnsi="Arial" w:cs="Arial"/>
        </w:rPr>
        <w:t>Annex A.7.6.14.</w:t>
      </w:r>
      <w:r w:rsidR="00393EE5">
        <w:rPr>
          <w:rFonts w:ascii="Arial" w:hAnsi="Arial" w:cs="Arial"/>
        </w:rPr>
        <w:t>2</w:t>
      </w:r>
      <w:r w:rsidR="009E22B2">
        <w:rPr>
          <w:rFonts w:ascii="Arial" w:hAnsi="Arial" w:cs="Arial"/>
          <w:lang w:eastAsia="zh-CN"/>
        </w:rPr>
        <w:t>.</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non-DRX</w:t>
      </w:r>
      <w:bookmarkEnd w:id="2"/>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The purpose of this test is to verify that the UE makes correct reporting of an event. This test will partly verify the TDD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120 kHz SSB SCS, 100 MHz bandwidth, TDD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240 kHz SSB SCS, 100 MHz bandwidth, TDD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The UE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There are two cells in the test, PCell (Cell 1) and a FR2 neighbour cell (Cell 2) on the same frequency as the PCell.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In the measurement control information, a measurement object is configured for the frequency of the PCell, and it is indicated to the UE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The test consists of two successive time periods, with time duration of T1, and T2 respectively. During time duration T1, the UE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PCell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One TDD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r w:rsidRPr="003C1279">
              <w:rPr>
                <w:rFonts w:ascii="Arial" w:hAnsi="Arial" w:cs="v4.2.0"/>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DRX</w:t>
            </w:r>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eastAsia="SimSun" w:hAnsi="Arial"/>
                <w:bCs/>
                <w:sz w:val="18"/>
                <w:highlight w:val="lightGray"/>
              </w:rPr>
              <w:t>BW</w:t>
            </w:r>
            <w:r w:rsidRPr="003C1279">
              <w:rPr>
                <w:rFonts w:ascii="Arial" w:eastAsia="SimSun" w:hAnsi="Arial"/>
                <w:sz w:val="18"/>
                <w:highlight w:val="lightGray"/>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SimSun"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SimSun"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sz w:val="18"/>
                <w:szCs w:val="18"/>
                <w:highlight w:val="lightGray"/>
                <w:lang w:val="de-DE"/>
              </w:rPr>
              <w:t>100: N</w:t>
            </w:r>
            <w:r w:rsidRPr="003C1279">
              <w:rPr>
                <w:rFonts w:ascii="Arial" w:eastAsia="SimSun" w:hAnsi="Arial"/>
                <w:sz w:val="18"/>
                <w:szCs w:val="18"/>
                <w:highlight w:val="lightGray"/>
                <w:vertAlign w:val="subscript"/>
                <w:lang w:val="de-DE"/>
              </w:rPr>
              <w:t xml:space="preserve">RB,c </w:t>
            </w:r>
            <w:r w:rsidRPr="003C1279">
              <w:rPr>
                <w:rFonts w:ascii="Arial" w:eastAsia="SimSun"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sz w:val="18"/>
                <w:szCs w:val="18"/>
                <w:highlight w:val="lightGray"/>
                <w:lang w:val="de-DE"/>
              </w:rPr>
              <w:t>100: N</w:t>
            </w:r>
            <w:r w:rsidRPr="003C1279">
              <w:rPr>
                <w:rFonts w:ascii="Arial" w:eastAsia="SimSun" w:hAnsi="Arial"/>
                <w:sz w:val="18"/>
                <w:szCs w:val="18"/>
                <w:highlight w:val="lightGray"/>
                <w:vertAlign w:val="subscript"/>
                <w:lang w:val="de-DE"/>
              </w:rPr>
              <w:t xml:space="preserve">RB,c </w:t>
            </w:r>
            <w:r w:rsidRPr="003C1279">
              <w:rPr>
                <w:rFonts w:ascii="Arial" w:eastAsia="SimSun"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SimSun" w:hAnsi="Arial"/>
                <w:bCs/>
                <w:sz w:val="18"/>
                <w:highlight w:val="lightGray"/>
              </w:rPr>
            </w:pPr>
            <w:r w:rsidRPr="003C1279">
              <w:rPr>
                <w:rFonts w:ascii="Arial" w:hAnsi="Arial" w:cs="Arial"/>
                <w:bCs/>
                <w:sz w:val="18"/>
                <w:highlight w:val="lightGray"/>
                <w:lang w:eastAsia="zh-CN"/>
              </w:rPr>
              <w:t>Data RBs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SimSun" w:hAnsi="Arial" w:cs="v4.2.0"/>
                <w:bCs/>
                <w:sz w:val="18"/>
                <w:highlight w:val="lightGray"/>
              </w:rPr>
            </w:pPr>
            <w:r w:rsidRPr="003C1279">
              <w:rPr>
                <w:rFonts w:ascii="Arial" w:eastAsia="SimSun"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SimSun"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SimSun" w:hAnsi="Arial" w:cs="v4.2.0"/>
                <w:bCs/>
                <w:sz w:val="18"/>
                <w:highlight w:val="lightGray"/>
              </w:rPr>
            </w:pPr>
            <w:r w:rsidRPr="003C1279">
              <w:rPr>
                <w:rFonts w:ascii="Arial" w:eastAsia="SimSun"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bCs/>
                <w:sz w:val="18"/>
                <w:highlight w:val="lightGray"/>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SSB</w:t>
            </w:r>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rPr>
              <w:t>PDSCH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SR.3.3 TDD</w:t>
            </w:r>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rPr>
              <w:t>RMSI CORESET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CR.3.1 TDD</w:t>
            </w:r>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TDD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CR.3.2 TDD</w:t>
            </w:r>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CR.3.2 TDD</w:t>
            </w:r>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Dedicated CORESET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CCR.3.1 TDD</w:t>
            </w:r>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TDD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CCR.3.7 TDD</w:t>
            </w:r>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CCR.3.7 TDD</w:t>
            </w:r>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r w:rsidRPr="003C1279">
              <w:rPr>
                <w:rFonts w:ascii="Arial" w:hAnsi="Arial" w:cs="Arial"/>
                <w:bCs/>
                <w:sz w:val="18"/>
                <w:highlight w:val="lightGray"/>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SimSun"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SimSun"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SimSun"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bCs/>
                <w:sz w:val="18"/>
                <w:highlight w:val="lightGray"/>
              </w:rPr>
              <w:t>OCNG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rFonts w:ascii="Arial" w:hAnsi="Arial" w:cs="Arial"/>
                <w:bCs/>
                <w:sz w:val="18"/>
                <w:highlight w:val="yellow"/>
              </w:rPr>
            </w:pPr>
            <w:r w:rsidRPr="009E22B2">
              <w:rPr>
                <w:rFonts w:ascii="Arial" w:hAnsi="Arial" w:cs="Arial"/>
                <w:bCs/>
                <w:sz w:val="18"/>
                <w:highlight w:val="yellow"/>
              </w:rPr>
              <w:t>cellIndividualOffset</w:t>
            </w:r>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rFonts w:ascii="Arial" w:hAnsi="Arial" w:cs="Arial"/>
                <w:sz w:val="18"/>
                <w:highlight w:val="yellow"/>
              </w:rPr>
            </w:pPr>
            <w:r w:rsidRPr="009E22B2">
              <w:rPr>
                <w:rFonts w:ascii="Arial" w:hAnsi="Arial" w:cs="Arial" w:hint="eastAsia"/>
                <w:bCs/>
                <w:sz w:val="18"/>
                <w:highlight w:val="yellow"/>
              </w:rPr>
              <w:t>d</w:t>
            </w:r>
            <w:r w:rsidRPr="009E22B2">
              <w:rPr>
                <w:rFonts w:ascii="Arial" w:hAnsi="Arial" w:cs="Arial"/>
                <w:bCs/>
                <w:sz w:val="18"/>
                <w:highlight w:val="yellow"/>
              </w:rPr>
              <w:t>B</w:t>
            </w:r>
          </w:p>
        </w:tc>
        <w:tc>
          <w:tcPr>
            <w:tcW w:w="1701" w:type="dxa"/>
            <w:tcBorders>
              <w:top w:val="single" w:sz="4" w:space="0" w:color="auto"/>
              <w:left w:val="single" w:sz="4" w:space="0" w:color="auto"/>
              <w:bottom w:val="single" w:sz="4" w:space="0" w:color="auto"/>
              <w:right w:val="single" w:sz="4" w:space="0" w:color="auto"/>
            </w:tcBorders>
          </w:tcPr>
          <w:p w14:paraId="4CC127E2" w14:textId="3B731ED7" w:rsidR="009E22B2" w:rsidRPr="009E22B2" w:rsidRDefault="009E22B2" w:rsidP="004306FF">
            <w:pPr>
              <w:keepNext/>
              <w:keepLines/>
              <w:spacing w:after="0" w:line="256" w:lineRule="auto"/>
              <w:jc w:val="center"/>
              <w:rPr>
                <w:rFonts w:ascii="Arial" w:hAnsi="Arial" w:cs="v4.2.0"/>
                <w:bCs/>
                <w:sz w:val="18"/>
                <w:highlight w:val="yellow"/>
              </w:rPr>
            </w:pPr>
            <w:r w:rsidRPr="009E22B2">
              <w:rPr>
                <w:rFonts w:ascii="Arial" w:hAnsi="Arial" w:cs="Arial" w:hint="eastAsia"/>
                <w:bCs/>
                <w:sz w:val="18"/>
                <w:highlight w:val="yellow"/>
              </w:rPr>
              <w:t>1</w:t>
            </w:r>
            <w:r w:rsidRPr="009E22B2">
              <w:rPr>
                <w:rFonts w:ascii="Arial" w:hAnsi="Arial" w:cs="Arial"/>
                <w:bCs/>
                <w:sz w:val="18"/>
                <w:highlight w:val="yellow"/>
              </w:rPr>
              <w:t>~</w:t>
            </w:r>
            <w:r w:rsidR="004306FF">
              <w:rPr>
                <w:rFonts w:ascii="Arial" w:hAnsi="Arial" w:cs="Arial"/>
                <w:bCs/>
                <w:sz w:val="18"/>
                <w:highlight w:val="yellow"/>
              </w:rPr>
              <w:t>2</w:t>
            </w:r>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N/A</w:t>
            </w:r>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16</w:t>
            </w:r>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r w:rsidRPr="003C1279">
              <w:rPr>
                <w:rFonts w:ascii="Arial" w:hAnsi="Arial" w:cs="Arial"/>
                <w:bCs/>
                <w:sz w:val="18"/>
                <w:highlight w:val="lightGray"/>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AWGN</w:t>
            </w:r>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AWGN</w:t>
            </w:r>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lastRenderedPageBreak/>
              <w:t>AoA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trPr>
        <w:tc>
          <w:tcPr>
            <w:tcW w:w="1647" w:type="dxa"/>
            <w:vMerge w:val="restart"/>
            <w:tcBorders>
              <w:top w:val="single" w:sz="4" w:space="0" w:color="auto"/>
              <w:left w:val="single" w:sz="4" w:space="0" w:color="auto"/>
              <w:right w:val="single" w:sz="4" w:space="0" w:color="auto"/>
            </w:tcBorders>
          </w:tcPr>
          <w:p w14:paraId="3E944B91" w14:textId="59BEB442" w:rsidR="009E22B2" w:rsidRPr="009E22B2" w:rsidRDefault="009E22B2" w:rsidP="009E22B2">
            <w:pPr>
              <w:keepNext/>
              <w:keepLines/>
              <w:spacing w:after="0" w:line="256" w:lineRule="auto"/>
              <w:rPr>
                <w:rFonts w:ascii="Arial" w:hAnsi="Arial" w:cs="v4.2.0"/>
                <w:noProof/>
                <w:position w:val="-6"/>
                <w:sz w:val="18"/>
                <w:highlight w:val="yellow"/>
                <w:lang w:val="en-US" w:eastAsia="zh-CN"/>
              </w:rPr>
            </w:pPr>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dBm/95.04MHz</w:t>
            </w:r>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hint="eastAsia"/>
                <w:sz w:val="18"/>
                <w:highlight w:val="yellow"/>
              </w:rPr>
              <w:t>1</w:t>
            </w:r>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highlight w:val="yellow"/>
              </w:rPr>
            </w:pPr>
            <w:r w:rsidRPr="009E22B2">
              <w:rPr>
                <w:rFonts w:cs="v4.2.0"/>
                <w:highlight w:val="yellow"/>
              </w:rPr>
              <w:t>-64.41</w:t>
            </w:r>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highlight w:val="yellow"/>
              </w:rPr>
            </w:pPr>
            <w:r w:rsidRPr="009E22B2">
              <w:rPr>
                <w:rFonts w:cs="v4.2.0"/>
                <w:highlight w:val="yellow"/>
              </w:rPr>
              <w:t>-64.41</w:t>
            </w:r>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highlight w:val="yellow"/>
              </w:rPr>
            </w:pPr>
            <w:r w:rsidRPr="009E22B2">
              <w:rPr>
                <w:rFonts w:cs="v4.2.0"/>
                <w:highlight w:val="yellow"/>
              </w:rPr>
              <w:t>-64.41</w:t>
            </w:r>
          </w:p>
        </w:tc>
      </w:tr>
      <w:tr w:rsidR="009E22B2" w:rsidRPr="003C1279" w14:paraId="16F0E29B" w14:textId="78D75E54" w:rsidTr="008E5DAC">
        <w:trPr>
          <w:cantSplit/>
          <w:trHeight w:val="219"/>
          <w:jc w:val="center"/>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2</w:t>
            </w:r>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highlight w:val="yellow"/>
              </w:rPr>
            </w:pPr>
            <w:r w:rsidRPr="009E22B2">
              <w:rPr>
                <w:rFonts w:cs="v4.2.0"/>
                <w:highlight w:val="yellow"/>
              </w:rPr>
              <w:t>-61.41</w:t>
            </w:r>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highlight w:val="yellow"/>
              </w:rPr>
            </w:pPr>
            <w:r w:rsidRPr="009E22B2">
              <w:rPr>
                <w:rFonts w:cs="v4.2.0"/>
                <w:highlight w:val="yellow"/>
              </w:rPr>
              <w:t>-61.41</w:t>
            </w:r>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highlight w:val="yellow"/>
              </w:rPr>
            </w:pPr>
            <w:r w:rsidRPr="009E22B2">
              <w:rPr>
                <w:rFonts w:cs="v4.2.0"/>
                <w:highlight w:val="yellow"/>
              </w:rPr>
              <w:t>-61.41</w:t>
            </w:r>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The resources for uplink transmission are assigned to the UE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r w:rsidRPr="003C1279">
              <w:rPr>
                <w:rFonts w:ascii="Arial" w:hAnsi="Arial"/>
                <w:sz w:val="18"/>
                <w:highlight w:val="lightGray"/>
                <w:lang w:val="en-US"/>
              </w:rPr>
              <w:t xml:space="preserve">Es/Iot, </w:t>
            </w:r>
            <w:r w:rsidRPr="003C1279">
              <w:rPr>
                <w:rFonts w:ascii="Arial" w:hAnsi="Arial"/>
                <w:sz w:val="18"/>
                <w:highlight w:val="lightGray"/>
              </w:rPr>
              <w:t>SSB_RP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Information about types of UE beam is given in B.2.1.3, and does not limit UE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Calculation of Es/Iot</w:t>
            </w:r>
            <w:r w:rsidRPr="003C1279">
              <w:rPr>
                <w:highlight w:val="lightGray"/>
                <w:vertAlign w:val="subscript"/>
                <w:lang w:val="en-US"/>
              </w:rPr>
              <w:t>BB</w:t>
            </w:r>
            <w:r w:rsidRPr="003C1279">
              <w:rPr>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3C1279">
              <w:rPr>
                <w:highlight w:val="lightGray"/>
                <w:vertAlign w:val="subscript"/>
                <w:lang w:val="en-US"/>
              </w:rPr>
              <w:t>P</w:t>
            </w:r>
            <w:r w:rsidRPr="003C1279">
              <w:rPr>
                <w:highlight w:val="lightGray"/>
                <w:lang w:val="en-US"/>
              </w:rPr>
              <w:t xml:space="preserve"> from TS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11" o:title=""/>
          </v:shape>
          <o:OLEObject Type="Embed" ProgID="Visio.Drawing.15" ShapeID="_x0000_i1025" DrawAspect="Content" ObjectID="_1764143436"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(Config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4" w:name="_Toc535476753"/>
      <w:r w:rsidRPr="003C1279">
        <w:rPr>
          <w:snapToGrid w:val="0"/>
          <w:highlight w:val="lightGray"/>
        </w:rPr>
        <w:t>A.7.6.1.1.2</w:t>
      </w:r>
      <w:r w:rsidRPr="003C1279">
        <w:rPr>
          <w:snapToGrid w:val="0"/>
          <w:highlight w:val="lightGray"/>
        </w:rPr>
        <w:tab/>
        <w:t>Test Requirements</w:t>
      </w:r>
      <w:bookmarkEnd w:id="4"/>
    </w:p>
    <w:p w14:paraId="30BE6F87" w14:textId="77777777" w:rsidR="003C1279" w:rsidRPr="003C1279" w:rsidRDefault="003C1279" w:rsidP="003C1279">
      <w:pPr>
        <w:rPr>
          <w:rFonts w:cs="v4.2.0"/>
          <w:highlight w:val="lightGray"/>
        </w:rPr>
      </w:pPr>
      <w:r w:rsidRPr="003C1279">
        <w:rPr>
          <w:rFonts w:cs="v4.2.0"/>
          <w:highlight w:val="lightGray"/>
        </w:rPr>
        <w:t>In the test, the UE shall send one Event A3 triggered measurement report, with a measurement reporting delay less than X ms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a UE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1.44s for a UE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t>The UE is not required to read the neighbour cell SSB index in this test.</w:t>
      </w:r>
    </w:p>
    <w:p w14:paraId="5FD3D499" w14:textId="77777777" w:rsidR="003C1279" w:rsidRPr="003C1279" w:rsidRDefault="003C1279" w:rsidP="003C1279">
      <w:pPr>
        <w:rPr>
          <w:rFonts w:cs="v4.2.0"/>
          <w:highlight w:val="lightGray"/>
        </w:rPr>
      </w:pPr>
      <w:r w:rsidRPr="003C1279">
        <w:rPr>
          <w:rFonts w:cs="v4.2.0"/>
          <w:highlight w:val="lightGray"/>
        </w:rPr>
        <w:t>The UE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lastRenderedPageBreak/>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TTI insertion uncertainty of the measurement report in DCCH.</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1A2F98B5" w:rsidR="006E1976" w:rsidRDefault="00B72B66" w:rsidP="006E1976">
      <w:pPr>
        <w:jc w:val="center"/>
        <w:rPr>
          <w:rFonts w:ascii="Arial" w:hAnsi="Arial"/>
          <w:b/>
        </w:rPr>
      </w:pPr>
      <w:r>
        <w:rPr>
          <w:noProof/>
        </w:rPr>
        <w:drawing>
          <wp:inline distT="0" distB="0" distL="0" distR="0" wp14:anchorId="2F021E0A" wp14:editId="7F4727A4">
            <wp:extent cx="3600450" cy="2676525"/>
            <wp:effectExtent l="0" t="0" r="0" b="9525"/>
            <wp:docPr id="1023937723"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937723" name="図 1" descr="グラフ, 円グラフ&#10;&#10;自動的に生成された説明"/>
                    <pic:cNvPicPr/>
                  </pic:nvPicPr>
                  <pic:blipFill>
                    <a:blip r:embed="rId13"/>
                    <a:stretch>
                      <a:fillRect/>
                    </a:stretch>
                  </pic:blipFill>
                  <pic:spPr>
                    <a:xfrm>
                      <a:off x="0" y="0"/>
                      <a:ext cx="3600450" cy="2676525"/>
                    </a:xfrm>
                    <a:prstGeom prst="rect">
                      <a:avLst/>
                    </a:prstGeom>
                  </pic:spPr>
                </pic:pic>
              </a:graphicData>
            </a:graphic>
          </wp:inline>
        </w:drawing>
      </w:r>
    </w:p>
    <w:p w14:paraId="79C5BBA5" w14:textId="3E2F1DFE" w:rsidR="008E5DAC" w:rsidRDefault="000B0B93" w:rsidP="006E1976">
      <w:pPr>
        <w:jc w:val="center"/>
        <w:rPr>
          <w:rFonts w:ascii="Arial" w:hAnsi="Arial"/>
          <w:b/>
        </w:rPr>
      </w:pPr>
      <w:r>
        <w:rPr>
          <w:noProof/>
        </w:rPr>
        <w:drawing>
          <wp:inline distT="0" distB="0" distL="0" distR="0" wp14:anchorId="309E5CB6" wp14:editId="435042AB">
            <wp:extent cx="6120765" cy="2614930"/>
            <wp:effectExtent l="0" t="0" r="0" b="0"/>
            <wp:docPr id="29557836"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7836" name="図 1" descr="グラフ, 円グラフ&#10;&#10;自動的に生成された説明"/>
                    <pic:cNvPicPr/>
                  </pic:nvPicPr>
                  <pic:blipFill>
                    <a:blip r:embed="rId14"/>
                    <a:stretch>
                      <a:fillRect/>
                    </a:stretch>
                  </pic:blipFill>
                  <pic:spPr>
                    <a:xfrm>
                      <a:off x="0" y="0"/>
                      <a:ext cx="6120765" cy="2614930"/>
                    </a:xfrm>
                    <a:prstGeom prst="rect">
                      <a:avLst/>
                    </a:prstGeom>
                  </pic:spPr>
                </pic:pic>
              </a:graphicData>
            </a:graphic>
          </wp:inline>
        </w:drawing>
      </w:r>
    </w:p>
    <w:p w14:paraId="3320F8D9" w14:textId="0164D77C"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0B0B93">
        <w:rPr>
          <w:lang w:val="en-US"/>
        </w:rPr>
        <w:t>4</w:t>
      </w:r>
      <w:r>
        <w:rPr>
          <w:lang w:val="en-US"/>
        </w:rPr>
        <w:t>.</w:t>
      </w:r>
      <w:r w:rsidR="000B0B93">
        <w:rPr>
          <w:lang w:val="en-US"/>
        </w:rPr>
        <w:t>2</w:t>
      </w:r>
    </w:p>
    <w:p w14:paraId="2CF1ADDD" w14:textId="192DCAAA" w:rsidR="0035249D" w:rsidRDefault="0035249D" w:rsidP="0035249D">
      <w:pPr>
        <w:jc w:val="both"/>
        <w:rPr>
          <w:rFonts w:ascii="Arial" w:hAnsi="Arial"/>
        </w:rPr>
      </w:pPr>
      <w:r>
        <w:rPr>
          <w:rFonts w:ascii="Arial" w:hAnsi="Arial"/>
        </w:rPr>
        <w:t>During T1</w:t>
      </w:r>
      <w:r w:rsidR="00FF3477">
        <w:rPr>
          <w:rFonts w:ascii="Arial" w:hAnsi="Arial"/>
        </w:rPr>
        <w:t xml:space="preserve"> and T2</w:t>
      </w:r>
      <w:r>
        <w:rPr>
          <w:rFonts w:ascii="Arial" w:hAnsi="Arial"/>
        </w:rPr>
        <w:t xml:space="preserve">, only Cell 1 is powered on. The DUT is expected to perform SSB-based measurements on Cell 1 and evaluate whether entering condition of event A3 is satisifed. </w:t>
      </w:r>
    </w:p>
    <w:p w14:paraId="727B9BCF" w14:textId="7CB53039" w:rsidR="0035249D" w:rsidRPr="00375AE2" w:rsidRDefault="0035249D" w:rsidP="0035249D">
      <w:pPr>
        <w:jc w:val="both"/>
        <w:rPr>
          <w:rFonts w:ascii="Arial" w:hAnsi="Arial"/>
          <w:b/>
        </w:rPr>
      </w:pPr>
      <w:r>
        <w:rPr>
          <w:rFonts w:ascii="Arial" w:hAnsi="Arial"/>
        </w:rPr>
        <w:t>During T</w:t>
      </w:r>
      <w:r w:rsidR="00350293">
        <w:rPr>
          <w:rFonts w:ascii="Arial" w:hAnsi="Arial"/>
        </w:rPr>
        <w:t>3</w:t>
      </w:r>
      <w:r>
        <w:rPr>
          <w:rFonts w:ascii="Arial" w:hAnsi="Arial"/>
        </w:rPr>
        <w:t>, Cell 2 is also powered on. The DUT is expected to indentify Cell 2, perform SSB-based measurements on Cell 2, evaluate the meaurement results and finally trigger measurement reporting. So the entering condition of event A3 shall be satisified during T2.</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5FFBE869"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350293">
        <w:rPr>
          <w:rFonts w:ascii="Arial" w:hAnsi="Arial"/>
          <w:lang w:eastAsia="zh-CN"/>
        </w:rPr>
        <w:t>4</w:t>
      </w:r>
      <w:r w:rsidR="003C1279" w:rsidRPr="003C1279">
        <w:rPr>
          <w:rFonts w:ascii="Arial" w:hAnsi="Arial"/>
          <w:lang w:eastAsia="zh-CN"/>
        </w:rPr>
        <w:t>.</w:t>
      </w:r>
      <w:r w:rsidR="00350293">
        <w:rPr>
          <w:rFonts w:ascii="Arial" w:hAnsi="Arial"/>
          <w:lang w:eastAsia="zh-CN"/>
        </w:rPr>
        <w:t>2</w:t>
      </w:r>
      <w:r w:rsidR="003C1279" w:rsidRPr="003C1279">
        <w:rPr>
          <w:rFonts w:ascii="Arial" w:hAnsi="Arial"/>
          <w:lang w:eastAsia="zh-CN"/>
        </w:rPr>
        <w:t>.</w:t>
      </w:r>
      <w:r w:rsidR="009E3D73">
        <w:rPr>
          <w:rFonts w:ascii="Arial" w:hAnsi="Arial"/>
          <w:lang w:eastAsia="zh-CN"/>
        </w:rPr>
        <w:t>2</w:t>
      </w:r>
      <w:r w:rsidR="003C1279" w:rsidRPr="003C1279">
        <w:rPr>
          <w:rFonts w:ascii="Arial" w:hAnsi="Arial"/>
          <w:lang w:eastAsia="zh-CN"/>
        </w:rPr>
        <w:t>-1</w:t>
      </w:r>
      <w:r w:rsidR="00C6086E">
        <w:rPr>
          <w:rFonts w:ascii="Arial" w:hAnsi="Arial"/>
          <w:lang w:eastAsia="zh-CN"/>
        </w:rPr>
        <w:t xml:space="preserve">, </w:t>
      </w:r>
      <w:r w:rsidR="00F67CEF" w:rsidRPr="003C1279">
        <w:rPr>
          <w:rFonts w:ascii="Arial" w:hAnsi="Arial"/>
          <w:lang w:eastAsia="zh-CN"/>
        </w:rPr>
        <w:t>A.7.6.1</w:t>
      </w:r>
      <w:r w:rsidR="00350293">
        <w:rPr>
          <w:rFonts w:ascii="Arial" w:hAnsi="Arial"/>
          <w:lang w:eastAsia="zh-CN"/>
        </w:rPr>
        <w:t>4</w:t>
      </w:r>
      <w:r w:rsidR="00F67CEF" w:rsidRPr="003C1279">
        <w:rPr>
          <w:rFonts w:ascii="Arial" w:hAnsi="Arial"/>
          <w:lang w:eastAsia="zh-CN"/>
        </w:rPr>
        <w:t>.</w:t>
      </w:r>
      <w:r w:rsidR="00350293">
        <w:rPr>
          <w:rFonts w:ascii="Arial" w:hAnsi="Arial"/>
          <w:lang w:eastAsia="zh-CN"/>
        </w:rPr>
        <w:t>2</w:t>
      </w:r>
      <w:r w:rsidR="00F67CEF" w:rsidRPr="003C1279">
        <w:rPr>
          <w:rFonts w:ascii="Arial" w:hAnsi="Arial"/>
          <w:lang w:eastAsia="zh-CN"/>
        </w:rPr>
        <w:t>.</w:t>
      </w:r>
      <w:r w:rsidR="009E3D73">
        <w:rPr>
          <w:rFonts w:ascii="Arial" w:hAnsi="Arial"/>
          <w:lang w:eastAsia="zh-CN"/>
        </w:rPr>
        <w:t>2</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886FBB">
        <w:rPr>
          <w:rFonts w:ascii="Arial" w:hAnsi="Arial"/>
          <w:lang w:eastAsia="zh-CN"/>
        </w:rPr>
        <w:t>4</w:t>
      </w:r>
      <w:r w:rsidR="00F67CEF" w:rsidRPr="003C1279">
        <w:rPr>
          <w:rFonts w:ascii="Arial" w:hAnsi="Arial"/>
          <w:lang w:eastAsia="zh-CN"/>
        </w:rPr>
        <w:t>.</w:t>
      </w:r>
      <w:r w:rsidR="00886FBB">
        <w:rPr>
          <w:rFonts w:ascii="Arial" w:hAnsi="Arial"/>
          <w:lang w:eastAsia="zh-CN"/>
        </w:rPr>
        <w:t>2</w:t>
      </w:r>
      <w:r w:rsidR="00F67CEF" w:rsidRPr="003C1279">
        <w:rPr>
          <w:rFonts w:ascii="Arial" w:hAnsi="Arial"/>
          <w:lang w:eastAsia="zh-CN"/>
        </w:rPr>
        <w:t>.</w:t>
      </w:r>
      <w:r w:rsidR="00886FBB">
        <w:rPr>
          <w:rFonts w:ascii="Arial" w:hAnsi="Arial"/>
          <w:lang w:eastAsia="zh-CN"/>
        </w:rPr>
        <w:t>2</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886FBB">
        <w:rPr>
          <w:rFonts w:ascii="Arial" w:hAnsi="Arial"/>
          <w:lang w:eastAsia="zh-CN"/>
        </w:rPr>
        <w:t>4</w:t>
      </w:r>
      <w:r w:rsidR="00F67CEF" w:rsidRPr="003C1279">
        <w:rPr>
          <w:rFonts w:ascii="Arial" w:hAnsi="Arial"/>
          <w:lang w:eastAsia="zh-CN"/>
        </w:rPr>
        <w:t>.</w:t>
      </w:r>
      <w:r w:rsidR="00886FBB">
        <w:rPr>
          <w:rFonts w:ascii="Arial" w:hAnsi="Arial"/>
          <w:lang w:eastAsia="zh-CN"/>
        </w:rPr>
        <w:t>2</w:t>
      </w:r>
      <w:r w:rsidR="00F67CEF" w:rsidRPr="003C1279">
        <w:rPr>
          <w:rFonts w:ascii="Arial" w:hAnsi="Arial"/>
          <w:lang w:eastAsia="zh-CN"/>
        </w:rPr>
        <w:t>.</w:t>
      </w:r>
      <w:r w:rsidR="00886FBB">
        <w:rPr>
          <w:rFonts w:ascii="Arial" w:hAnsi="Arial"/>
          <w:lang w:eastAsia="zh-CN"/>
        </w:rPr>
        <w:t>2</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C4AF351"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during T1</w:t>
      </w:r>
      <w:r w:rsidR="00101FAA">
        <w:rPr>
          <w:rFonts w:ascii="Arial" w:hAnsi="Arial" w:cs="Arial"/>
        </w:rPr>
        <w:t xml:space="preserve"> and T2</w:t>
      </w:r>
      <w:r w:rsidR="000F6201">
        <w:rPr>
          <w:rFonts w:ascii="Arial" w:hAnsi="Arial" w:cs="Arial"/>
        </w:rPr>
        <w:t xml:space="preserve"> </w:t>
      </w:r>
      <w:r w:rsidRPr="00190F34">
        <w:rPr>
          <w:rFonts w:ascii="Arial" w:hAnsi="Arial" w:cs="Arial"/>
        </w:rPr>
        <w:t xml:space="preserve">the </w:t>
      </w:r>
      <w:r w:rsidR="00C6086E">
        <w:rPr>
          <w:rFonts w:ascii="Arial" w:hAnsi="Arial" w:cs="Arial"/>
        </w:rPr>
        <w:t>DUT</w:t>
      </w:r>
      <w:r w:rsidRPr="00190F34">
        <w:rPr>
          <w:rFonts w:ascii="Arial" w:hAnsi="Arial" w:cs="Arial"/>
        </w:rPr>
        <w:t xml:space="preserve"> </w:t>
      </w:r>
      <w:r w:rsidR="000F6201">
        <w:rPr>
          <w:rFonts w:ascii="Arial" w:hAnsi="Arial" w:cs="Arial"/>
        </w:rPr>
        <w:t>performs SSB measurement on Cell 1. During T</w:t>
      </w:r>
      <w:r w:rsidR="00101FAA">
        <w:rPr>
          <w:rFonts w:ascii="Arial" w:hAnsi="Arial" w:cs="Arial"/>
        </w:rPr>
        <w:t>3</w:t>
      </w:r>
      <w:r w:rsidR="000F6201">
        <w:rPr>
          <w:rFonts w:ascii="Arial" w:hAnsi="Arial" w:cs="Arial"/>
        </w:rPr>
        <w:t xml:space="preserve"> the DUT performs SSB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satisifed:</w:t>
      </w:r>
    </w:p>
    <w:p w14:paraId="22D21B07" w14:textId="72B6AB46" w:rsidR="000F6201" w:rsidRDefault="000F6201" w:rsidP="000F6201">
      <w:pPr>
        <w:jc w:val="center"/>
        <w:rPr>
          <w:rFonts w:ascii="Arial" w:hAnsi="Arial" w:cs="Arial"/>
        </w:rPr>
      </w:pPr>
      <w:r w:rsidRPr="000F6201">
        <w:rPr>
          <w:rFonts w:ascii="Arial" w:hAnsi="Arial" w:cs="Arial"/>
        </w:rPr>
        <w:t>Mn + Ofn + Ocn – Hys &gt; Mp + Ofp + Ocp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38CFC040"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w:t>
      </w:r>
      <w:r w:rsidR="00812610">
        <w:rPr>
          <w:rFonts w:ascii="Arial" w:hAnsi="Arial" w:cs="Arial"/>
        </w:rPr>
        <w:t>n</w:t>
      </w:r>
      <w:r>
        <w:rPr>
          <w:rFonts w:ascii="Arial" w:hAnsi="Arial" w:cs="Arial"/>
        </w:rPr>
        <w:t xml:space="preserve"> are the SS-RSRP of Cell 1 and Cell 2 UE measured respectively,</w:t>
      </w:r>
    </w:p>
    <w:p w14:paraId="7525F164" w14:textId="502DC103" w:rsidR="000F6201" w:rsidRDefault="000F6201" w:rsidP="000F6201">
      <w:pPr>
        <w:pStyle w:val="aff"/>
        <w:numPr>
          <w:ilvl w:val="0"/>
          <w:numId w:val="50"/>
        </w:numPr>
        <w:ind w:firstLineChars="0"/>
        <w:rPr>
          <w:rFonts w:ascii="Arial" w:hAnsi="Arial" w:cs="Arial"/>
          <w:lang w:eastAsia="zh-CN"/>
        </w:rPr>
      </w:pPr>
      <w:r>
        <w:rPr>
          <w:rFonts w:ascii="Arial" w:hAnsi="Arial" w:cs="Arial"/>
        </w:rPr>
        <w:t>Ofp and Ofn are the MO-specific offset for Cell 1 and Cell 2 respectively, which are 0dB.</w:t>
      </w:r>
    </w:p>
    <w:p w14:paraId="4B371F98" w14:textId="5C607AB7" w:rsidR="000F6201" w:rsidRDefault="000F6201" w:rsidP="000F6201">
      <w:pPr>
        <w:pStyle w:val="aff"/>
        <w:numPr>
          <w:ilvl w:val="0"/>
          <w:numId w:val="50"/>
        </w:numPr>
        <w:ind w:firstLineChars="0"/>
        <w:rPr>
          <w:rFonts w:ascii="Arial" w:hAnsi="Arial" w:cs="Arial"/>
          <w:lang w:eastAsia="zh-CN"/>
        </w:rPr>
      </w:pPr>
      <w:r>
        <w:rPr>
          <w:rFonts w:ascii="Arial" w:hAnsi="Arial" w:cs="Arial"/>
        </w:rPr>
        <w:t xml:space="preserve">Ocp and Ocn are the cell-specific offset for Cell 1 and Cell 2 respectively, Ocp = 0dB and Ocn = 16dB according to 38.133 Table </w:t>
      </w:r>
      <w:r w:rsidRPr="000F6201">
        <w:rPr>
          <w:rFonts w:ascii="Arial" w:hAnsi="Arial" w:cs="Arial"/>
        </w:rPr>
        <w:t>A.7.6.1</w:t>
      </w:r>
      <w:r w:rsidR="00AB0E0D">
        <w:rPr>
          <w:rFonts w:ascii="Arial" w:hAnsi="Arial" w:cs="Arial"/>
        </w:rPr>
        <w:t>4</w:t>
      </w:r>
      <w:r w:rsidRPr="000F6201">
        <w:rPr>
          <w:rFonts w:ascii="Arial" w:hAnsi="Arial" w:cs="Arial"/>
        </w:rPr>
        <w:t>.</w:t>
      </w:r>
      <w:r w:rsidR="00AB0E0D">
        <w:rPr>
          <w:rFonts w:ascii="Arial" w:hAnsi="Arial" w:cs="Arial"/>
        </w:rPr>
        <w:t>2</w:t>
      </w:r>
      <w:r w:rsidRPr="000F6201">
        <w:rPr>
          <w:rFonts w:ascii="Arial" w:hAnsi="Arial" w:cs="Arial"/>
        </w:rPr>
        <w:t>.</w:t>
      </w:r>
      <w:r w:rsidR="00AB0E0D">
        <w:rPr>
          <w:rFonts w:ascii="Arial" w:hAnsi="Arial" w:cs="Arial"/>
        </w:rPr>
        <w:t>2</w:t>
      </w:r>
      <w:r w:rsidRPr="000F6201">
        <w:rPr>
          <w:rFonts w:ascii="Arial" w:hAnsi="Arial" w:cs="Arial"/>
        </w:rPr>
        <w:t>-3</w:t>
      </w:r>
      <w:r>
        <w:rPr>
          <w:rFonts w:ascii="Arial" w:hAnsi="Arial" w:cs="Arial"/>
        </w:rPr>
        <w:t>.</w:t>
      </w:r>
    </w:p>
    <w:p w14:paraId="53D19E3B" w14:textId="3C9E8B35" w:rsidR="000F6201" w:rsidRDefault="000F6201" w:rsidP="000F6201">
      <w:pPr>
        <w:pStyle w:val="aff"/>
        <w:numPr>
          <w:ilvl w:val="0"/>
          <w:numId w:val="50"/>
        </w:numPr>
        <w:ind w:firstLineChars="0"/>
        <w:rPr>
          <w:rFonts w:ascii="Arial" w:hAnsi="Arial" w:cs="Arial"/>
          <w:lang w:eastAsia="zh-CN"/>
        </w:rPr>
      </w:pPr>
      <w:r w:rsidRPr="000F6201">
        <w:rPr>
          <w:rFonts w:ascii="Arial" w:hAnsi="Arial" w:cs="Arial"/>
        </w:rPr>
        <w:t>Hys</w:t>
      </w:r>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w:t>
      </w:r>
      <w:r w:rsidR="00782AAD">
        <w:rPr>
          <w:rFonts w:ascii="Arial" w:hAnsi="Arial" w:cs="Arial"/>
        </w:rPr>
        <w:t>4</w:t>
      </w:r>
      <w:r>
        <w:rPr>
          <w:rFonts w:ascii="Arial" w:hAnsi="Arial" w:cs="Arial"/>
        </w:rPr>
        <w:t>.</w:t>
      </w:r>
      <w:r w:rsidR="00782AAD">
        <w:rPr>
          <w:rFonts w:ascii="Arial" w:hAnsi="Arial" w:cs="Arial"/>
        </w:rPr>
        <w:t>2</w:t>
      </w:r>
      <w:r>
        <w:rPr>
          <w:rFonts w:ascii="Arial" w:hAnsi="Arial" w:cs="Arial"/>
        </w:rPr>
        <w:t>.</w:t>
      </w:r>
      <w:r w:rsidR="00782AAD">
        <w:rPr>
          <w:rFonts w:ascii="Arial" w:hAnsi="Arial" w:cs="Arial"/>
        </w:rPr>
        <w:t>2</w:t>
      </w:r>
      <w:r>
        <w:rPr>
          <w:rFonts w:ascii="Arial" w:hAnsi="Arial" w:cs="Arial"/>
        </w:rPr>
        <w:t>-2.</w:t>
      </w:r>
    </w:p>
    <w:p w14:paraId="3BADF19B" w14:textId="08489571" w:rsidR="000F6201" w:rsidRPr="000F6201" w:rsidRDefault="000F6201" w:rsidP="000F6201">
      <w:pPr>
        <w:pStyle w:val="aff"/>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w:t>
      </w:r>
      <w:r w:rsidR="00782AAD">
        <w:rPr>
          <w:rFonts w:ascii="Arial" w:hAnsi="Arial" w:cs="Arial"/>
        </w:rPr>
        <w:t>4</w:t>
      </w:r>
      <w:r w:rsidR="003B24FA">
        <w:rPr>
          <w:rFonts w:ascii="Arial" w:hAnsi="Arial" w:cs="Arial"/>
        </w:rPr>
        <w:t>.</w:t>
      </w:r>
      <w:r w:rsidR="00782AAD">
        <w:rPr>
          <w:rFonts w:ascii="Arial" w:hAnsi="Arial" w:cs="Arial"/>
        </w:rPr>
        <w:t>2</w:t>
      </w:r>
      <w:r w:rsidR="003B24FA">
        <w:rPr>
          <w:rFonts w:ascii="Arial" w:hAnsi="Arial" w:cs="Arial"/>
        </w:rPr>
        <w:t>.</w:t>
      </w:r>
      <w:r w:rsidR="00782AAD">
        <w:rPr>
          <w:rFonts w:ascii="Arial" w:hAnsi="Arial" w:cs="Arial"/>
        </w:rPr>
        <w:t>2</w:t>
      </w:r>
      <w:r w:rsidR="003B24FA">
        <w:rPr>
          <w:rFonts w:ascii="Arial" w:hAnsi="Arial" w:cs="Arial"/>
        </w:rPr>
        <w:t>-2.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UE measured (Cell 2 RSRP - Cell 1 RSRP + Ocn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lastRenderedPageBreak/>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dBm/BW</w:t>
            </w:r>
            <w:r w:rsidRPr="0005739D">
              <w:rPr>
                <w:rFonts w:ascii="Arial" w:hAnsi="Arial"/>
                <w:b/>
                <w:sz w:val="18"/>
                <w:highlight w:val="lightGray"/>
                <w:vertAlign w:val="subscript"/>
              </w:rPr>
              <w:t>Channel</w:t>
            </w:r>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游明朝"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游明朝"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Values based on Refsens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ＭＳ 明朝" w:hAnsi="Arial"/>
                <w:sz w:val="18"/>
                <w:highlight w:val="lightGray"/>
              </w:rPr>
              <w:t>Io specified at the Reference point, and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r w:rsidRPr="0005739D">
              <w:rPr>
                <w:rFonts w:ascii="Arial" w:hAnsi="Arial" w:hint="eastAsia"/>
                <w:sz w:val="18"/>
                <w:highlight w:val="lightGray"/>
              </w:rPr>
              <w:t>Ê</w:t>
            </w:r>
            <w:r w:rsidRPr="0005739D">
              <w:rPr>
                <w:rFonts w:ascii="Arial" w:hAnsi="Arial"/>
                <w:sz w:val="18"/>
                <w:highlight w:val="lightGray"/>
              </w:rPr>
              <w:t xml:space="preserve">s/Iot and related parameters may need to be adjusted to ensure </w:t>
            </w:r>
            <w:r w:rsidRPr="0005739D">
              <w:rPr>
                <w:rFonts w:ascii="Arial" w:hAnsi="Arial" w:hint="eastAsia"/>
                <w:sz w:val="18"/>
                <w:highlight w:val="lightGray"/>
              </w:rPr>
              <w:t>Ê</w:t>
            </w:r>
            <w:r w:rsidRPr="0005739D">
              <w:rPr>
                <w:rFonts w:ascii="Arial" w:hAnsi="Arial"/>
                <w:sz w:val="18"/>
                <w:highlight w:val="lightGray"/>
              </w:rPr>
              <w:t>s/Iot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The parameter SSB Ês/Iot is the minimum SSB Ês/Iot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Ês/Iot,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SSB Ês/Iot</w:t>
            </w:r>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Values specified at the Reference point to give minimum SSB Ês/Iot,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∆MB</w:t>
            </w:r>
            <w:r w:rsidRPr="00445F4A">
              <w:rPr>
                <w:highlight w:val="lightGray"/>
                <w:vertAlign w:val="subscript"/>
                <w:lang w:val="en-US"/>
              </w:rPr>
              <w:t>P,n</w:t>
            </w:r>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∆MB</w:t>
            </w:r>
            <w:r w:rsidRPr="00445F4A">
              <w:rPr>
                <w:highlight w:val="lightGray"/>
                <w:vertAlign w:val="subscript"/>
                <w:lang w:val="en-US"/>
              </w:rPr>
              <w:t>S,n</w:t>
            </w:r>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tighest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r w:rsidR="0002543F">
        <w:rPr>
          <w:rFonts w:ascii="Arial" w:hAnsi="Arial" w:cs="Arial"/>
          <w:vertAlign w:val="subscript"/>
        </w:rPr>
        <w:t>MBs</w:t>
      </w:r>
      <w:r w:rsidR="0002543F" w:rsidRPr="007C537E">
        <w:rPr>
          <w:rFonts w:ascii="Arial" w:hAnsi="Arial" w:cs="Arial"/>
          <w:vertAlign w:val="subscript"/>
        </w:rPr>
        <w:t>,n</w:t>
      </w:r>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SSB Es/Iot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r w:rsidRPr="00952539">
        <w:rPr>
          <w:highlight w:val="yellow"/>
          <w:lang w:val="en-US"/>
        </w:rPr>
        <w:t>Ês/Iot</w:t>
      </w:r>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Minimum, dBi</w:t>
            </w:r>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Maximum, dBi</w:t>
            </w:r>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specifed in 38.101-2 Table 7.3.2.3-1. For UE PC3 with 100MHz CBW, s</w:t>
      </w:r>
      <w:r w:rsidRPr="003B24FA">
        <w:rPr>
          <w:rFonts w:ascii="Arial" w:hAnsi="Arial"/>
        </w:rPr>
        <w:t>pherical coverage gain variation</w:t>
      </w:r>
      <w:r>
        <w:rPr>
          <w:rFonts w:ascii="Arial" w:hAnsi="Arial"/>
        </w:rPr>
        <w:t xml:space="preserve"> is 6.4dB.</w:t>
      </w:r>
    </w:p>
    <w:p w14:paraId="36681087" w14:textId="474C9611" w:rsidR="006146E9" w:rsidRDefault="001355BD" w:rsidP="006E1976">
      <w:pPr>
        <w:jc w:val="both"/>
        <w:rPr>
          <w:rFonts w:ascii="Arial" w:hAnsi="Arial" w:cs="Arial"/>
        </w:rPr>
      </w:pPr>
      <w:r>
        <w:rPr>
          <w:rFonts w:ascii="Arial" w:hAnsi="Arial" w:cs="Arial"/>
        </w:rPr>
        <w:t>In summary, during T1</w:t>
      </w:r>
      <w:r w:rsidR="00477171">
        <w:rPr>
          <w:rFonts w:ascii="Arial" w:hAnsi="Arial" w:cs="Arial"/>
        </w:rPr>
        <w:t xml:space="preserve"> and 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4EF4B266" w:rsidR="001355BD" w:rsidRDefault="001355BD" w:rsidP="006E1976">
      <w:pPr>
        <w:jc w:val="both"/>
        <w:rPr>
          <w:rFonts w:ascii="Arial" w:hAnsi="Arial" w:cs="Arial"/>
        </w:rPr>
      </w:pPr>
      <w:r>
        <w:rPr>
          <w:rFonts w:ascii="Arial" w:hAnsi="Arial" w:cs="Arial"/>
        </w:rPr>
        <w:t>-</w:t>
      </w:r>
      <w:r>
        <w:rPr>
          <w:rFonts w:ascii="Arial" w:hAnsi="Arial" w:cs="Arial"/>
        </w:rPr>
        <w:tab/>
        <w:t>SSB_RP of Cell 1 shall be no less than -</w:t>
      </w:r>
      <w:r w:rsidR="007C537E">
        <w:rPr>
          <w:rFonts w:ascii="Arial" w:hAnsi="Arial" w:cs="Arial"/>
        </w:rPr>
        <w:t>94</w:t>
      </w:r>
      <w:r w:rsidR="00445F4A">
        <w:rPr>
          <w:rFonts w:ascii="Arial" w:hAnsi="Arial" w:cs="Arial"/>
        </w:rPr>
        <w:t>.7</w:t>
      </w:r>
      <w:r>
        <w:rPr>
          <w:rFonts w:ascii="Arial" w:hAnsi="Arial" w:cs="Arial"/>
        </w:rPr>
        <w:t xml:space="preserve"> dBm/120kHz</w:t>
      </w:r>
      <w:r w:rsidR="007C537E">
        <w:rPr>
          <w:rFonts w:ascii="Arial" w:hAnsi="Arial" w:cs="Arial"/>
        </w:rPr>
        <w:t xml:space="preserve"> 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00472FFB" w14:textId="18055BF3"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w:t>
      </w:r>
      <w:r w:rsidR="00477171">
        <w:rPr>
          <w:rFonts w:ascii="Arial" w:hAnsi="Arial" w:cs="Arial"/>
        </w:rPr>
        <w:t xml:space="preserve"> </w:t>
      </w:r>
      <w:r w:rsidR="00F55D94">
        <w:rPr>
          <w:rFonts w:ascii="Arial" w:hAnsi="Arial" w:cs="Arial"/>
        </w:rPr>
        <w:t>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sidR="00F55D94">
        <w:rPr>
          <w:rFonts w:ascii="Arial" w:hAnsi="Arial" w:cs="Arial"/>
        </w:rPr>
        <w:t>.</w:t>
      </w:r>
    </w:p>
    <w:p w14:paraId="7EED6F0D" w14:textId="2B891E05" w:rsidR="00F55D94" w:rsidRDefault="00F55D94" w:rsidP="006E1976">
      <w:pPr>
        <w:jc w:val="both"/>
        <w:rPr>
          <w:rFonts w:ascii="Arial" w:hAnsi="Arial" w:cs="Arial"/>
        </w:rPr>
      </w:pPr>
      <w:r>
        <w:rPr>
          <w:rFonts w:ascii="Arial" w:hAnsi="Arial" w:cs="Arial"/>
        </w:rPr>
        <w:t>And during T</w:t>
      </w:r>
      <w:r w:rsidR="00477171">
        <w:rPr>
          <w:rFonts w:ascii="Arial" w:hAnsi="Arial" w:cs="Arial"/>
        </w:rPr>
        <w:t>3</w:t>
      </w:r>
      <w:r>
        <w:rPr>
          <w:rFonts w:ascii="Arial" w:hAnsi="Arial" w:cs="Arial"/>
        </w:rPr>
        <w:t xml:space="preserve">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of Cell 1 and Cell 2 at baseband shall be no less than -6dB,</w:t>
      </w:r>
    </w:p>
    <w:p w14:paraId="72DB2430" w14:textId="4526F5A5" w:rsidR="00F55D94" w:rsidRDefault="00F55D94" w:rsidP="00F55D94">
      <w:pPr>
        <w:jc w:val="both"/>
        <w:rPr>
          <w:rFonts w:ascii="Arial" w:hAnsi="Arial" w:cs="Arial"/>
        </w:rPr>
      </w:pPr>
      <w:r>
        <w:rPr>
          <w:rFonts w:ascii="Arial" w:hAnsi="Arial" w:cs="Arial"/>
        </w:rPr>
        <w:t>-</w:t>
      </w:r>
      <w:r>
        <w:rPr>
          <w:rFonts w:ascii="Arial" w:hAnsi="Arial" w:cs="Arial"/>
        </w:rPr>
        <w:tab/>
        <w:t>SSB_RP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 xml:space="preserve">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5C082B30" w14:textId="66BA4128"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shall be larger than 0 dB.</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SSB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Es of Cell 2 would cause no change to SSB Es/Iot and the Io on Cell 1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SSB Es/Iot and Io on Cell 2 SSB symbols are also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038E1D8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SSB symbols shall be no less than </w:t>
      </w:r>
      <w:r w:rsidR="00B2255D">
        <w:rPr>
          <w:rFonts w:ascii="Arial" w:hAnsi="Arial" w:cs="Arial"/>
        </w:rPr>
        <w:t>-70.11 dBm/Ch BW</w:t>
      </w:r>
      <w:r>
        <w:rPr>
          <w:rFonts w:ascii="Arial" w:hAnsi="Arial" w:cs="Arial"/>
        </w:rPr>
        <w:t xml:space="preserve">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0C56777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SSB symbols shall be no less than </w:t>
      </w:r>
      <w:r w:rsidR="00B2255D">
        <w:rPr>
          <w:rFonts w:ascii="Arial" w:hAnsi="Arial" w:cs="Arial"/>
        </w:rPr>
        <w:t>-70.11 dBm/Ch BW</w:t>
      </w:r>
      <w:r>
        <w:rPr>
          <w:rFonts w:ascii="Arial" w:hAnsi="Arial" w:cs="Arial"/>
        </w:rPr>
        <w:t xml:space="preserve"> and no larger than -50dBm/Ch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is larger than 0 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7"/>
    <w:p w14:paraId="0AC47DEC" w14:textId="6D33EF9C" w:rsidR="00E02302" w:rsidRPr="007B3CEC" w:rsidRDefault="007B3CEC" w:rsidP="007B3CEC">
      <w:pPr>
        <w:jc w:val="both"/>
        <w:rPr>
          <w:rFonts w:ascii="Arial" w:hAnsi="Arial" w:cs="Arial"/>
        </w:rPr>
      </w:pPr>
      <w:r w:rsidRPr="007B3CEC">
        <w:rPr>
          <w:rFonts w:ascii="Arial" w:hAnsi="Arial"/>
        </w:rPr>
        <w:t>TS 38.533 test case 7.6.14.1 does not contain configurations with different parameters.</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423D2A8D" w14:textId="3219DED1" w:rsidR="00891C56" w:rsidRPr="00EF1BC1" w:rsidRDefault="00891C56" w:rsidP="00891C5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w:t>
      </w:r>
      <w:r>
        <w:rPr>
          <w:rFonts w:ascii="Arial" w:hAnsi="Arial"/>
        </w:rPr>
        <w:t>contain</w:t>
      </w:r>
      <w:r w:rsidR="009F63FE">
        <w:rPr>
          <w:rFonts w:ascii="Arial" w:hAnsi="Arial"/>
        </w:rPr>
        <w:t>s</w:t>
      </w:r>
      <w:r>
        <w:rPr>
          <w:rFonts w:ascii="Arial" w:hAnsi="Arial"/>
        </w:rPr>
        <w:t xml:space="preserve"> similar test cases</w:t>
      </w:r>
      <w:r w:rsidR="009F63FE">
        <w:rPr>
          <w:rFonts w:ascii="Arial" w:hAnsi="Arial"/>
        </w:rPr>
        <w:t xml:space="preserve"> like </w:t>
      </w:r>
      <w:r w:rsidR="00331B53">
        <w:rPr>
          <w:rFonts w:ascii="Arial" w:hAnsi="Arial"/>
        </w:rPr>
        <w:t xml:space="preserve">5.6.1.1 and </w:t>
      </w:r>
      <w:r w:rsidR="009F63FE">
        <w:rPr>
          <w:rFonts w:ascii="Arial" w:hAnsi="Arial"/>
        </w:rPr>
        <w:t>7.6.1.1 but having a different time configuration (T1 and T2), wh</w:t>
      </w:r>
      <w:r w:rsidR="00331B53">
        <w:rPr>
          <w:rFonts w:ascii="Arial" w:hAnsi="Arial"/>
        </w:rPr>
        <w:t>ose test tolerance</w:t>
      </w:r>
      <w:r w:rsidR="009F63FE">
        <w:rPr>
          <w:rFonts w:ascii="Arial" w:hAnsi="Arial"/>
        </w:rPr>
        <w:t xml:space="preserve"> is </w:t>
      </w:r>
      <w:proofErr w:type="spellStart"/>
      <w:r w:rsidR="009F63FE">
        <w:rPr>
          <w:rFonts w:ascii="Arial" w:hAnsi="Arial"/>
        </w:rPr>
        <w:t>analyzed</w:t>
      </w:r>
      <w:proofErr w:type="spellEnd"/>
      <w:r w:rsidR="009F63FE">
        <w:rPr>
          <w:rFonts w:ascii="Arial" w:hAnsi="Arial"/>
        </w:rPr>
        <w:t xml:space="preserve"> </w:t>
      </w:r>
      <w:r w:rsidR="001856D3">
        <w:rPr>
          <w:rFonts w:ascii="Arial" w:hAnsi="Arial"/>
        </w:rPr>
        <w:t>separately.</w:t>
      </w:r>
    </w:p>
    <w:p w14:paraId="70FCCBCD" w14:textId="355969D0" w:rsidR="00EF1BC1" w:rsidRPr="009F63FE" w:rsidRDefault="00EF1BC1" w:rsidP="00891C56">
      <w:pPr>
        <w:jc w:val="both"/>
        <w:rPr>
          <w:rFonts w:ascii="Arial" w:hAnsi="Arial"/>
        </w:rPr>
      </w:pPr>
    </w:p>
    <w:sectPr w:rsidR="00EF1BC1" w:rsidRPr="009F63F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58AD" w14:textId="77777777" w:rsidR="00A3233F" w:rsidRDefault="00A3233F">
      <w:r>
        <w:separator/>
      </w:r>
    </w:p>
  </w:endnote>
  <w:endnote w:type="continuationSeparator" w:id="0">
    <w:p w14:paraId="14AE644A" w14:textId="77777777" w:rsidR="00A3233F" w:rsidRDefault="00A3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AE79" w14:textId="77777777" w:rsidR="00A3233F" w:rsidRDefault="00A3233F">
      <w:r>
        <w:separator/>
      </w:r>
    </w:p>
  </w:footnote>
  <w:footnote w:type="continuationSeparator" w:id="0">
    <w:p w14:paraId="5252D9C3" w14:textId="77777777" w:rsidR="00A3233F" w:rsidRDefault="00A32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892568896">
    <w:abstractNumId w:val="1"/>
  </w:num>
  <w:num w:numId="2" w16cid:durableId="15078512">
    <w:abstractNumId w:val="21"/>
  </w:num>
  <w:num w:numId="3" w16cid:durableId="276525759">
    <w:abstractNumId w:val="46"/>
  </w:num>
  <w:num w:numId="4" w16cid:durableId="136727460">
    <w:abstractNumId w:val="17"/>
  </w:num>
  <w:num w:numId="5" w16cid:durableId="786656289">
    <w:abstractNumId w:val="2"/>
  </w:num>
  <w:num w:numId="6" w16cid:durableId="661271686">
    <w:abstractNumId w:val="36"/>
  </w:num>
  <w:num w:numId="7" w16cid:durableId="1860965372">
    <w:abstractNumId w:val="39"/>
  </w:num>
  <w:num w:numId="8" w16cid:durableId="814226574">
    <w:abstractNumId w:val="42"/>
  </w:num>
  <w:num w:numId="9" w16cid:durableId="411895592">
    <w:abstractNumId w:val="22"/>
  </w:num>
  <w:num w:numId="10" w16cid:durableId="767387782">
    <w:abstractNumId w:val="34"/>
  </w:num>
  <w:num w:numId="11" w16cid:durableId="429130659">
    <w:abstractNumId w:val="25"/>
  </w:num>
  <w:num w:numId="12" w16cid:durableId="1166241273">
    <w:abstractNumId w:val="20"/>
  </w:num>
  <w:num w:numId="13" w16cid:durableId="837965615">
    <w:abstractNumId w:val="37"/>
  </w:num>
  <w:num w:numId="14" w16cid:durableId="1519615439">
    <w:abstractNumId w:val="23"/>
  </w:num>
  <w:num w:numId="15" w16cid:durableId="1786578683">
    <w:abstractNumId w:val="5"/>
  </w:num>
  <w:num w:numId="16" w16cid:durableId="1426656309">
    <w:abstractNumId w:val="32"/>
  </w:num>
  <w:num w:numId="17" w16cid:durableId="1321806752">
    <w:abstractNumId w:val="8"/>
  </w:num>
  <w:num w:numId="18" w16cid:durableId="609779305">
    <w:abstractNumId w:val="49"/>
  </w:num>
  <w:num w:numId="19" w16cid:durableId="1884901373">
    <w:abstractNumId w:val="4"/>
  </w:num>
  <w:num w:numId="20" w16cid:durableId="690297661">
    <w:abstractNumId w:val="13"/>
  </w:num>
  <w:num w:numId="21" w16cid:durableId="169024238">
    <w:abstractNumId w:val="44"/>
  </w:num>
  <w:num w:numId="22" w16cid:durableId="239873241">
    <w:abstractNumId w:val="45"/>
  </w:num>
  <w:num w:numId="23" w16cid:durableId="131599099">
    <w:abstractNumId w:val="48"/>
  </w:num>
  <w:num w:numId="24" w16cid:durableId="1147280691">
    <w:abstractNumId w:val="29"/>
  </w:num>
  <w:num w:numId="25" w16cid:durableId="887496820">
    <w:abstractNumId w:val="19"/>
  </w:num>
  <w:num w:numId="26" w16cid:durableId="564148406">
    <w:abstractNumId w:val="9"/>
  </w:num>
  <w:num w:numId="27" w16cid:durableId="1948536943">
    <w:abstractNumId w:val="3"/>
  </w:num>
  <w:num w:numId="28" w16cid:durableId="377821343">
    <w:abstractNumId w:val="38"/>
  </w:num>
  <w:num w:numId="29" w16cid:durableId="224923687">
    <w:abstractNumId w:val="43"/>
  </w:num>
  <w:num w:numId="30" w16cid:durableId="768430794">
    <w:abstractNumId w:val="33"/>
  </w:num>
  <w:num w:numId="31" w16cid:durableId="1294091495">
    <w:abstractNumId w:val="35"/>
  </w:num>
  <w:num w:numId="32" w16cid:durableId="1384016342">
    <w:abstractNumId w:val="6"/>
  </w:num>
  <w:num w:numId="33" w16cid:durableId="1975135949">
    <w:abstractNumId w:val="16"/>
  </w:num>
  <w:num w:numId="34" w16cid:durableId="39941647">
    <w:abstractNumId w:val="31"/>
  </w:num>
  <w:num w:numId="35" w16cid:durableId="521669024">
    <w:abstractNumId w:val="12"/>
  </w:num>
  <w:num w:numId="36" w16cid:durableId="1941142940">
    <w:abstractNumId w:val="14"/>
  </w:num>
  <w:num w:numId="37" w16cid:durableId="1819105773">
    <w:abstractNumId w:val="47"/>
  </w:num>
  <w:num w:numId="38" w16cid:durableId="1782796543">
    <w:abstractNumId w:val="30"/>
  </w:num>
  <w:num w:numId="39" w16cid:durableId="1562977959">
    <w:abstractNumId w:val="41"/>
  </w:num>
  <w:num w:numId="40" w16cid:durableId="469725">
    <w:abstractNumId w:val="24"/>
  </w:num>
  <w:num w:numId="41" w16cid:durableId="1743260130">
    <w:abstractNumId w:val="40"/>
  </w:num>
  <w:num w:numId="42" w16cid:durableId="1848205088">
    <w:abstractNumId w:val="11"/>
  </w:num>
  <w:num w:numId="43" w16cid:durableId="1869291197">
    <w:abstractNumId w:val="10"/>
  </w:num>
  <w:num w:numId="44" w16cid:durableId="1740127699">
    <w:abstractNumId w:val="27"/>
  </w:num>
  <w:num w:numId="45" w16cid:durableId="4167562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550190383">
    <w:abstractNumId w:val="7"/>
  </w:num>
  <w:num w:numId="47" w16cid:durableId="706413149">
    <w:abstractNumId w:val="26"/>
  </w:num>
  <w:num w:numId="48" w16cid:durableId="1341658065">
    <w:abstractNumId w:val="18"/>
  </w:num>
  <w:num w:numId="49" w16cid:durableId="51732287">
    <w:abstractNumId w:val="15"/>
  </w:num>
  <w:num w:numId="50" w16cid:durableId="54502249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5739D"/>
    <w:rsid w:val="000A6003"/>
    <w:rsid w:val="000A6394"/>
    <w:rsid w:val="000A6FD2"/>
    <w:rsid w:val="000B0B93"/>
    <w:rsid w:val="000B7FED"/>
    <w:rsid w:val="000C038A"/>
    <w:rsid w:val="000C6598"/>
    <w:rsid w:val="000C7C8C"/>
    <w:rsid w:val="000D44B3"/>
    <w:rsid w:val="000F6201"/>
    <w:rsid w:val="00101FAA"/>
    <w:rsid w:val="001225B6"/>
    <w:rsid w:val="001355BD"/>
    <w:rsid w:val="0014109A"/>
    <w:rsid w:val="00145D43"/>
    <w:rsid w:val="001856D3"/>
    <w:rsid w:val="00192C46"/>
    <w:rsid w:val="001A04F6"/>
    <w:rsid w:val="001A08B3"/>
    <w:rsid w:val="001A7B60"/>
    <w:rsid w:val="001B52F0"/>
    <w:rsid w:val="001B616C"/>
    <w:rsid w:val="001B7A65"/>
    <w:rsid w:val="001C2C74"/>
    <w:rsid w:val="001D1CCF"/>
    <w:rsid w:val="001E41F3"/>
    <w:rsid w:val="001F2AC4"/>
    <w:rsid w:val="001F3DD5"/>
    <w:rsid w:val="00241B6C"/>
    <w:rsid w:val="0026004D"/>
    <w:rsid w:val="002640DD"/>
    <w:rsid w:val="00275D12"/>
    <w:rsid w:val="00277B02"/>
    <w:rsid w:val="00284FEB"/>
    <w:rsid w:val="002860C4"/>
    <w:rsid w:val="002B5741"/>
    <w:rsid w:val="002C683A"/>
    <w:rsid w:val="002E472E"/>
    <w:rsid w:val="002E64D1"/>
    <w:rsid w:val="00305409"/>
    <w:rsid w:val="003112F5"/>
    <w:rsid w:val="00331B53"/>
    <w:rsid w:val="003323C0"/>
    <w:rsid w:val="003463CE"/>
    <w:rsid w:val="00350293"/>
    <w:rsid w:val="0035249D"/>
    <w:rsid w:val="003609EF"/>
    <w:rsid w:val="0036231A"/>
    <w:rsid w:val="00365989"/>
    <w:rsid w:val="00374DD4"/>
    <w:rsid w:val="00393EE5"/>
    <w:rsid w:val="003A7132"/>
    <w:rsid w:val="003B24FA"/>
    <w:rsid w:val="003C1279"/>
    <w:rsid w:val="003D7F24"/>
    <w:rsid w:val="003E0873"/>
    <w:rsid w:val="003E1A36"/>
    <w:rsid w:val="00410371"/>
    <w:rsid w:val="00423B71"/>
    <w:rsid w:val="004242F1"/>
    <w:rsid w:val="004306FF"/>
    <w:rsid w:val="00445F4A"/>
    <w:rsid w:val="004570B1"/>
    <w:rsid w:val="0046220B"/>
    <w:rsid w:val="00475763"/>
    <w:rsid w:val="00477171"/>
    <w:rsid w:val="004B75B7"/>
    <w:rsid w:val="004D4B58"/>
    <w:rsid w:val="0051580D"/>
    <w:rsid w:val="00547111"/>
    <w:rsid w:val="00580D63"/>
    <w:rsid w:val="00590D27"/>
    <w:rsid w:val="00592D74"/>
    <w:rsid w:val="005B7632"/>
    <w:rsid w:val="005E2C44"/>
    <w:rsid w:val="005F0264"/>
    <w:rsid w:val="006146E9"/>
    <w:rsid w:val="00621188"/>
    <w:rsid w:val="006257ED"/>
    <w:rsid w:val="00665C47"/>
    <w:rsid w:val="00695808"/>
    <w:rsid w:val="006B46FB"/>
    <w:rsid w:val="006D13DD"/>
    <w:rsid w:val="006E1976"/>
    <w:rsid w:val="006E21FB"/>
    <w:rsid w:val="007206CF"/>
    <w:rsid w:val="0072670C"/>
    <w:rsid w:val="00747BEF"/>
    <w:rsid w:val="00770BDB"/>
    <w:rsid w:val="00782AAD"/>
    <w:rsid w:val="00792342"/>
    <w:rsid w:val="007977A8"/>
    <w:rsid w:val="007B0B24"/>
    <w:rsid w:val="007B3CEC"/>
    <w:rsid w:val="007B512A"/>
    <w:rsid w:val="007C2097"/>
    <w:rsid w:val="007C537E"/>
    <w:rsid w:val="007C7FD1"/>
    <w:rsid w:val="007D6A07"/>
    <w:rsid w:val="007F7259"/>
    <w:rsid w:val="008040A8"/>
    <w:rsid w:val="00811113"/>
    <w:rsid w:val="00812610"/>
    <w:rsid w:val="008279FA"/>
    <w:rsid w:val="008626E7"/>
    <w:rsid w:val="00870EE7"/>
    <w:rsid w:val="008863B9"/>
    <w:rsid w:val="00886FBB"/>
    <w:rsid w:val="00891C56"/>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E3D73"/>
    <w:rsid w:val="009F63FE"/>
    <w:rsid w:val="009F734F"/>
    <w:rsid w:val="00A154E4"/>
    <w:rsid w:val="00A246B6"/>
    <w:rsid w:val="00A3233F"/>
    <w:rsid w:val="00A42358"/>
    <w:rsid w:val="00A47E70"/>
    <w:rsid w:val="00A50CF0"/>
    <w:rsid w:val="00A55095"/>
    <w:rsid w:val="00A7671C"/>
    <w:rsid w:val="00AA2CBC"/>
    <w:rsid w:val="00AB0E0D"/>
    <w:rsid w:val="00AB6536"/>
    <w:rsid w:val="00AC5820"/>
    <w:rsid w:val="00AD1CD8"/>
    <w:rsid w:val="00AD287A"/>
    <w:rsid w:val="00B1473F"/>
    <w:rsid w:val="00B21BEE"/>
    <w:rsid w:val="00B2255D"/>
    <w:rsid w:val="00B258BB"/>
    <w:rsid w:val="00B37E96"/>
    <w:rsid w:val="00B67B97"/>
    <w:rsid w:val="00B72B66"/>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277B"/>
    <w:rsid w:val="00FF3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3041</Words>
  <Characters>17339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Yamashita, Osamu</cp:lastModifiedBy>
  <cp:revision>26</cp:revision>
  <cp:lastPrinted>1899-12-31T23:00:00Z</cp:lastPrinted>
  <dcterms:created xsi:type="dcterms:W3CDTF">2023-12-15T01:10:00Z</dcterms:created>
  <dcterms:modified xsi:type="dcterms:W3CDTF">2023-12-15T01:49:00Z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